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Пресс-релиз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836"/>
        <w:ind w:firstLine="709"/>
        <w:jc w:val="both"/>
        <w:tabs>
          <w:tab w:val="left" w:pos="0" w:leader="none"/>
          <w:tab w:val="left" w:pos="142" w:leader="none"/>
        </w:tabs>
      </w:pPr>
      <w:r/>
      <w:r/>
    </w:p>
    <w:p>
      <w:pPr>
        <w:ind w:firstLine="567"/>
        <w:jc w:val="both"/>
        <w:spacing w:after="0" w:afterAutospacing="0" w:line="240" w:lineRule="auto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 марта 2026 года в городе Петрозаводск в актовом зале Петрозаводского филиала ФГБОУ ВО "Петербургский государственный университет путей сообщения Императора Александра I" состоялось обобщение правоприменительной практики отделов государственного железнодо</w:t>
      </w:r>
      <w:r>
        <w:rPr>
          <w:rFonts w:ascii="Times New Roman" w:hAnsi="Times New Roman" w:cs="Times New Roman"/>
          <w:sz w:val="26"/>
          <w:szCs w:val="26"/>
        </w:rPr>
        <w:t xml:space="preserve">рожного надзора МТУ Ространснадзора по СЗФО за 2025 год, а также совещание с участием представителей бизнес-сообщества по вопросам контрольной (надзорной) и разрешительной деятельности на железнодорожном транспорте.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67"/>
        <w:jc w:val="both"/>
        <w:spacing w:after="0" w:afterAutospacing="0" w:line="240" w:lineRule="auto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совещании присутствовали: заместитель начальника МТУ Ространснадзора по СЗФО Зайцев А.А., проректор ПГУПС Александра I Греков М.А., руководитель Северо-Западного территориального управления Росжелдора Каменир Н.В., Карельский транспортный прокурор Мирошн</w:t>
      </w:r>
      <w:r>
        <w:rPr>
          <w:rFonts w:ascii="Times New Roman" w:hAnsi="Times New Roman" w:cs="Times New Roman"/>
          <w:sz w:val="26"/>
          <w:szCs w:val="26"/>
        </w:rPr>
        <w:t xml:space="preserve">иченко А.В., главный ревизор по безопасности движения поездов Октябрьской железной дороги – филиала ОАО «РЖД» Черний М.Н., заместитель начальника Октябрьской железной дороги – филиала ОАО «РЖД» Троянов В.В., и.о. директора Петрозаводского филиала ПГУПС Алек</w:t>
      </w:r>
      <w:r>
        <w:rPr>
          <w:rFonts w:ascii="Times New Roman" w:hAnsi="Times New Roman" w:cs="Times New Roman"/>
          <w:sz w:val="26"/>
          <w:szCs w:val="26"/>
        </w:rPr>
        <w:t xml:space="preserve">сандра I Химич Л.А., </w:t>
      </w:r>
      <w:r>
        <w:rPr>
          <w:rFonts w:ascii="Times New Roman" w:hAnsi="Times New Roman" w:cs="Times New Roman"/>
          <w:sz w:val="26"/>
          <w:szCs w:val="26"/>
        </w:rPr>
        <w:t xml:space="preserve">технический инспектор труда Петрозаводского регионального отдела Дорпрофжел на</w:t>
      </w:r>
      <w:r>
        <w:rPr>
          <w:rFonts w:ascii="Times New Roman" w:hAnsi="Times New Roman" w:cs="Times New Roman"/>
          <w:sz w:val="26"/>
          <w:szCs w:val="26"/>
        </w:rPr>
        <w:t xml:space="preserve"> Октябрьской железной дороге Михеев А.Н.,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представители предприятий, осуществляющих свою деятельность в сфере железнодорожного транспорта, а также студенты Петрозаводского филиала ПГУПС Александра I,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67"/>
        <w:jc w:val="both"/>
        <w:spacing w:after="0" w:afterAutospacing="0" w:line="240" w:lineRule="auto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рамках публичных обсуждений правоприменительной практики были подведены результаты контрольной (надзорной) деятельности за 2025 год и обозначены перспективы совершенствования и развития контрольно-надзорной деятельности на железнодорожном транспорте.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67"/>
        <w:jc w:val="both"/>
        <w:spacing w:after="0" w:afterAutospacing="0" w:line="240" w:lineRule="auto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Участники совещания проинформированы об изменениях в законодательстве Российской Федерации о железнодорожном транспорте.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Отдельно рассмотрены вопросы, связанные с безопасностью движения поездов и эксплуатацией железнодорожного транспорта, а именно проведен анализ допущенных сходов железнодорожного подвижного состава; вопросы непроизводственного травматизма, в том числе, несов</w:t>
      </w:r>
      <w:r>
        <w:rPr>
          <w:rFonts w:ascii="Times New Roman" w:hAnsi="Times New Roman" w:cs="Times New Roman"/>
          <w:sz w:val="26"/>
          <w:szCs w:val="26"/>
        </w:rPr>
        <w:t xml:space="preserve">ершеннолетних граждан; вопросы обеспечения безопасности на железнодорожных переездах; вопросы обеспечения транспортной безопасности в области железнодорожного транспорта.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Регламентом совещания были предусмотрены ответы на вопросы представителей бизнес-сообщества </w:t>
      </w:r>
      <w:r>
        <w:rPr>
          <w:rFonts w:ascii="Times New Roman" w:hAnsi="Times New Roman" w:cs="Times New Roman"/>
          <w:sz w:val="26"/>
          <w:szCs w:val="26"/>
        </w:rPr>
        <w:t xml:space="preserve">в форме диалога, а также получение обратной связи от контролируемых лиц.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В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ходе проведения публичных обсуждений результатов правоприменительной практики проведено анкетирование представителей предприятий, осуществляющих свою деятельность в сфере железнодорожного транспорта. По результатам анкетирования по вопросам эффективности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и полезности проведения публичных обсуждений результатов правоприменительной практики участниками публичных обсуждений даны положительные оценки данного мероприятия.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Все материалы публичных обсуждений, а также видеозапись мероприятия размещены на сайте МТУ Ространснадзора по СЗФО: </w:t>
      </w:r>
      <w:r>
        <w:rPr>
          <w:rFonts w:ascii="Times New Roman" w:hAnsi="Times New Roman" w:cs="Times New Roman"/>
          <w:sz w:val="26"/>
          <w:szCs w:val="26"/>
        </w:rPr>
      </w:r>
      <w:hyperlink r:id="rId8" w:tooltip="https://rostransnadzor.gov.ru/rostransnadzor/podrazdeleniya/mtuszfo/deyatelnost-podrazdeleniya/4185." w:history="1">
        <w:r>
          <w:rPr>
            <w:rStyle w:val="840"/>
            <w:rFonts w:ascii="Times New Roman" w:hAnsi="Times New Roman" w:cs="Times New Roman"/>
            <w:sz w:val="26"/>
            <w:szCs w:val="26"/>
          </w:rPr>
          <w:t xml:space="preserve">https://rostransnadzor.gov.ru/rostransnadzor/podrazdeleniya/mtuszfo/deyatelnost-podrazdeleniya/4185</w:t>
        </w:r>
        <w:r>
          <w:rPr>
            <w:rStyle w:val="840"/>
            <w:rFonts w:ascii="Times New Roman" w:hAnsi="Times New Roman" w:cs="Times New Roman"/>
            <w:sz w:val="26"/>
            <w:szCs w:val="26"/>
          </w:rPr>
          <w:t xml:space="preserve">.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rFonts w:ascii="Calibri" w:hAnsi="Calibri" w:eastAsia="Calibri" w:cs="Times New Roman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rmal (Web)"/>
    <w:basedOn w:val="83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36">
    <w:name w:val="Body Text"/>
    <w:basedOn w:val="831"/>
    <w:link w:val="837"/>
    <w:uiPriority w:val="99"/>
    <w:unhideWhenUsed/>
    <w:pPr>
      <w:jc w:val="right"/>
      <w:spacing w:after="0" w:line="240" w:lineRule="auto"/>
    </w:pPr>
    <w:rPr>
      <w:rFonts w:ascii="Times New Roman" w:hAnsi="Times New Roman" w:eastAsia="Times New Roman"/>
      <w:sz w:val="28"/>
      <w:szCs w:val="26"/>
      <w:lang w:eastAsia="ru-RU"/>
    </w:rPr>
  </w:style>
  <w:style w:type="character" w:styleId="837" w:customStyle="1">
    <w:name w:val="Основной текст Знак"/>
    <w:basedOn w:val="832"/>
    <w:link w:val="836"/>
    <w:uiPriority w:val="99"/>
    <w:rPr>
      <w:rFonts w:ascii="Times New Roman" w:hAnsi="Times New Roman" w:eastAsia="Times New Roman" w:cs="Times New Roman"/>
      <w:sz w:val="28"/>
      <w:szCs w:val="26"/>
      <w:lang w:eastAsia="ru-RU"/>
    </w:rPr>
  </w:style>
  <w:style w:type="paragraph" w:styleId="838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39" w:customStyle="1">
    <w:name w:val="p1"/>
    <w:basedOn w:val="8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40">
    <w:name w:val="Hyperlink"/>
    <w:basedOn w:val="832"/>
    <w:uiPriority w:val="99"/>
    <w:unhideWhenUsed/>
    <w:rPr>
      <w:color w:val="0000ff" w:themeColor="hyperlink"/>
      <w:u w:val="single"/>
    </w:rPr>
  </w:style>
  <w:style w:type="paragraph" w:styleId="841">
    <w:name w:val="Balloon Text"/>
    <w:basedOn w:val="831"/>
    <w:link w:val="84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2" w:customStyle="1">
    <w:name w:val="Текст выноски Знак"/>
    <w:basedOn w:val="832"/>
    <w:link w:val="841"/>
    <w:uiPriority w:val="99"/>
    <w:semiHidden/>
    <w:rPr>
      <w:rFonts w:ascii="Segoe UI" w:hAnsi="Segoe UI" w:eastAsia="Calibr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rostransnadzor.gov.ru/rostransnadzor/podrazdeleniya/mtuszfo/deyatelnost-podrazdeleniya/4185.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Тяжева</dc:creator>
  <cp:revision>22</cp:revision>
  <dcterms:created xsi:type="dcterms:W3CDTF">2024-09-30T12:38:00Z</dcterms:created>
  <dcterms:modified xsi:type="dcterms:W3CDTF">2026-03-17T11:41:36Z</dcterms:modified>
</cp:coreProperties>
</file>